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Pre-Production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Software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Manage Digital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Storyboard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Debug Animation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Export Animation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Optimize Animation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204.01 Understand advanced production methods for digital animation.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